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9B" w:rsidRPr="00B135C9" w:rsidRDefault="00B135C9" w:rsidP="00F41D71">
      <w:pPr>
        <w:pStyle w:val="Nagwek1"/>
      </w:pPr>
      <w:r w:rsidRPr="00B135C9">
        <w:t xml:space="preserve">Pawilon Polski. </w:t>
      </w:r>
      <w:r w:rsidR="003D783C">
        <w:t>London Design Biennale 2020</w:t>
      </w:r>
    </w:p>
    <w:p w:rsidR="00B135C9" w:rsidRPr="00B135C9" w:rsidRDefault="003D783C">
      <w:pPr>
        <w:rPr>
          <w:b/>
          <w:sz w:val="32"/>
          <w:szCs w:val="32"/>
        </w:rPr>
      </w:pPr>
      <w:r>
        <w:rPr>
          <w:b/>
          <w:sz w:val="32"/>
          <w:szCs w:val="32"/>
        </w:rPr>
        <w:t>8-27 września 2020</w:t>
      </w:r>
    </w:p>
    <w:p w:rsidR="003275E8" w:rsidRPr="003D783C" w:rsidRDefault="003275E8">
      <w:r w:rsidRPr="003D783C">
        <w:t xml:space="preserve">Miejsce:  </w:t>
      </w:r>
      <w:r w:rsidR="00044152" w:rsidRPr="003D783C">
        <w:t xml:space="preserve">      </w:t>
      </w:r>
      <w:r w:rsidRPr="003D783C">
        <w:rPr>
          <w:b/>
        </w:rPr>
        <w:t>SOMERSET HOUSE</w:t>
      </w:r>
    </w:p>
    <w:p w:rsidR="000A31B9" w:rsidRPr="000A31B9" w:rsidRDefault="003275E8" w:rsidP="006B6D10">
      <w:pPr>
        <w:rPr>
          <w:b/>
          <w:lang w:val="en-GB"/>
        </w:rPr>
      </w:pPr>
      <w:proofErr w:type="spellStart"/>
      <w:r w:rsidRPr="003D783C">
        <w:rPr>
          <w:lang w:val="en-GB"/>
        </w:rPr>
        <w:t>Przestrzeń</w:t>
      </w:r>
      <w:proofErr w:type="spellEnd"/>
      <w:r w:rsidRPr="003D783C">
        <w:rPr>
          <w:lang w:val="en-GB"/>
        </w:rPr>
        <w:t xml:space="preserve">: </w:t>
      </w:r>
      <w:r w:rsidR="00044152" w:rsidRPr="003D783C">
        <w:rPr>
          <w:lang w:val="en-GB"/>
        </w:rPr>
        <w:t xml:space="preserve"> </w:t>
      </w:r>
      <w:r w:rsidRPr="003D783C">
        <w:rPr>
          <w:lang w:val="en-GB"/>
        </w:rPr>
        <w:t xml:space="preserve"> </w:t>
      </w:r>
      <w:r w:rsidR="003D783C" w:rsidRPr="003D783C">
        <w:rPr>
          <w:b/>
          <w:lang w:val="en-GB"/>
        </w:rPr>
        <w:t>EAST WING, ROOM 21</w:t>
      </w:r>
      <w:r w:rsidR="000D0482">
        <w:rPr>
          <w:b/>
          <w:lang w:val="en-GB"/>
        </w:rPr>
        <w:t xml:space="preserve"> (</w:t>
      </w:r>
      <w:r w:rsidR="003D783C" w:rsidRPr="003D783C">
        <w:rPr>
          <w:b/>
          <w:lang w:val="en-GB"/>
        </w:rPr>
        <w:t xml:space="preserve">EW </w:t>
      </w:r>
      <w:r w:rsidR="000D0482">
        <w:rPr>
          <w:b/>
          <w:lang w:val="en-GB"/>
        </w:rPr>
        <w:t>G01 + G41</w:t>
      </w:r>
      <w:bookmarkStart w:id="0" w:name="_GoBack"/>
      <w:bookmarkEnd w:id="0"/>
      <w:r w:rsidRPr="003D783C">
        <w:rPr>
          <w:b/>
          <w:lang w:val="en-GB"/>
        </w:rPr>
        <w:t>)</w:t>
      </w:r>
      <w:r w:rsidR="000A31B9">
        <w:rPr>
          <w:b/>
          <w:lang w:val="en-GB"/>
        </w:rPr>
        <w:t>,</w:t>
      </w:r>
      <w:r w:rsidR="006B6D10" w:rsidRPr="006B6D10">
        <w:rPr>
          <w:b/>
        </w:rPr>
        <w:t xml:space="preserve"> </w:t>
      </w:r>
      <w:r w:rsidR="006B6D10">
        <w:rPr>
          <w:b/>
        </w:rPr>
        <w:t>ok. 59 m2</w:t>
      </w:r>
      <w:r w:rsidR="006B6D10" w:rsidRPr="00E0006B">
        <w:rPr>
          <w:b/>
        </w:rPr>
        <w:t xml:space="preserve">  </w:t>
      </w:r>
      <w:r w:rsidR="006B6D10">
        <w:rPr>
          <w:b/>
        </w:rPr>
        <w:t xml:space="preserve"> </w:t>
      </w:r>
    </w:p>
    <w:p w:rsidR="000A31B9" w:rsidRDefault="000A31B9" w:rsidP="006B6D10">
      <w:pPr>
        <w:rPr>
          <w:b/>
        </w:rPr>
      </w:pPr>
      <w:r>
        <w:rPr>
          <w:b/>
        </w:rPr>
        <w:t>Wymiary:</w:t>
      </w:r>
      <w:r w:rsidR="006B6D10">
        <w:rPr>
          <w:b/>
        </w:rPr>
        <w:t xml:space="preserve">                                                                                                                                             </w:t>
      </w:r>
    </w:p>
    <w:p w:rsidR="006B6D10" w:rsidRPr="006B6D10" w:rsidRDefault="006B6D10" w:rsidP="006B6D10">
      <w:pPr>
        <w:rPr>
          <w:b/>
          <w:lang w:val="en-GB"/>
        </w:rPr>
      </w:pPr>
      <w:r>
        <w:t>Długość: około 11, 8 m                                                                                                                                            Szerokość: ok.</w:t>
      </w:r>
      <w:r w:rsidRPr="006B6D10">
        <w:t xml:space="preserve"> 4</w:t>
      </w:r>
      <w:r>
        <w:t>,6 m                                                                                                                                             Wysokość</w:t>
      </w:r>
      <w:r w:rsidRPr="006B6D10">
        <w:t xml:space="preserve">: </w:t>
      </w:r>
      <w:r>
        <w:t>ok. 5m</w:t>
      </w:r>
    </w:p>
    <w:p w:rsidR="00C45C4D" w:rsidRDefault="00C45C4D" w:rsidP="00C45C4D">
      <w:pPr>
        <w:rPr>
          <w:rFonts w:ascii="Tms Rmn" w:hAnsi="Tms Rmn" w:cs="Tms Rmn"/>
          <w:b/>
          <w:sz w:val="24"/>
          <w:szCs w:val="24"/>
        </w:rPr>
      </w:pPr>
      <w:r w:rsidRPr="00B135C9">
        <w:t>Daty montażu</w:t>
      </w:r>
      <w:r w:rsidRPr="00B135C9">
        <w:rPr>
          <w:rFonts w:ascii="Tms Rmn" w:hAnsi="Tms Rmn" w:cs="Tms Rmn"/>
          <w:sz w:val="24"/>
          <w:szCs w:val="24"/>
        </w:rPr>
        <w:t xml:space="preserve"> : </w:t>
      </w:r>
      <w:r w:rsidR="003D783C">
        <w:rPr>
          <w:b/>
        </w:rPr>
        <w:t>1 – 6 września 2020</w:t>
      </w:r>
      <w:r>
        <w:rPr>
          <w:rFonts w:ascii="Tms Rmn" w:hAnsi="Tms Rmn" w:cs="Tms Rmn"/>
          <w:b/>
          <w:sz w:val="24"/>
          <w:szCs w:val="24"/>
        </w:rPr>
        <w:t xml:space="preserve"> </w:t>
      </w:r>
    </w:p>
    <w:p w:rsidR="00C45C4D" w:rsidRPr="00C45C4D" w:rsidRDefault="00C45C4D">
      <w:pPr>
        <w:rPr>
          <w:rFonts w:ascii="Tms Rmn" w:hAnsi="Tms Rmn" w:cs="Tms Rmn"/>
          <w:b/>
          <w:sz w:val="24"/>
          <w:szCs w:val="24"/>
        </w:rPr>
      </w:pPr>
      <w:r w:rsidRPr="00B135C9">
        <w:t xml:space="preserve">Daty demontażu: </w:t>
      </w:r>
      <w:r>
        <w:t xml:space="preserve"> </w:t>
      </w:r>
      <w:r w:rsidR="003D783C">
        <w:rPr>
          <w:b/>
        </w:rPr>
        <w:t>27 – 30</w:t>
      </w:r>
      <w:r w:rsidRPr="00B135C9">
        <w:rPr>
          <w:b/>
        </w:rPr>
        <w:t xml:space="preserve"> </w:t>
      </w:r>
      <w:r w:rsidR="003D783C">
        <w:rPr>
          <w:b/>
        </w:rPr>
        <w:t>września 2020</w:t>
      </w:r>
    </w:p>
    <w:p w:rsidR="003275E8" w:rsidRDefault="003275E8">
      <w:pPr>
        <w:rPr>
          <w:lang w:val="en-GB"/>
        </w:rPr>
      </w:pPr>
      <w:r>
        <w:rPr>
          <w:noProof/>
          <w:lang w:eastAsia="pl-PL"/>
        </w:rPr>
        <w:drawing>
          <wp:inline distT="0" distB="0" distL="0" distR="0">
            <wp:extent cx="5760720" cy="3842731"/>
            <wp:effectExtent l="0" t="0" r="0" b="5715"/>
            <wp:docPr id="1" name="Obraz 1" descr="C:\Users\ngedroyc\Desktop\London Design Biennale\KONKURS\FIN\Materiały na strone IAM\LDB-UAE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gedroyc\Desktop\London Design Biennale\KONKURS\FIN\Materiały na strone IAM\LDB-UAE-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5E8" w:rsidRDefault="003275E8">
      <w:pPr>
        <w:rPr>
          <w:lang w:val="en-GB"/>
        </w:rPr>
      </w:pPr>
    </w:p>
    <w:p w:rsidR="003275E8" w:rsidRDefault="003275E8">
      <w:pPr>
        <w:rPr>
          <w:rFonts w:ascii="Tms Rmn" w:hAnsi="Tms Rmn" w:cs="Tms Rmn"/>
          <w:color w:val="0000FF"/>
          <w:sz w:val="24"/>
          <w:szCs w:val="24"/>
          <w:u w:val="single"/>
          <w:lang w:val="en-GB"/>
        </w:rPr>
      </w:pPr>
      <w:r>
        <w:rPr>
          <w:lang w:val="en-GB"/>
        </w:rPr>
        <w:t xml:space="preserve">Google tour:  </w:t>
      </w:r>
      <w:hyperlink r:id="rId7" w:history="1">
        <w:r w:rsidR="00E0006B" w:rsidRPr="00F41D71">
          <w:rPr>
            <w:rStyle w:val="Hipercze"/>
            <w:rFonts w:ascii="Tms Rmn" w:hAnsi="Tms Rmn" w:cs="Tms Rmn"/>
            <w:lang w:val="en-GB"/>
          </w:rPr>
          <w:t>https://www.google.com/maps/@51.5109891,0.1163964,3a,75y,339.9h,87.31t/data=!3m7!1e1!3m5!1s--HRy2oaKv4AAAQY7MmUpA!2e0!3e2!7i13312!8i6656</w:t>
        </w:r>
      </w:hyperlink>
    </w:p>
    <w:p w:rsidR="00F41D71" w:rsidRDefault="00F41D71" w:rsidP="00C45C4D">
      <w:pPr>
        <w:spacing w:line="360" w:lineRule="auto"/>
        <w:rPr>
          <w:b/>
          <w:sz w:val="28"/>
          <w:szCs w:val="28"/>
        </w:rPr>
      </w:pPr>
      <w:hyperlink r:id="rId8" w:history="1">
        <w:r>
          <w:rPr>
            <w:rStyle w:val="Hipercze"/>
          </w:rPr>
          <w:t>https://my.matterport.com/show/?m=nDqR55Z1GS9</w:t>
        </w:r>
      </w:hyperlink>
    </w:p>
    <w:p w:rsidR="00C45C4D" w:rsidRPr="00C45C4D" w:rsidRDefault="00C45C4D" w:rsidP="00C45C4D">
      <w:pPr>
        <w:spacing w:line="360" w:lineRule="auto"/>
        <w:rPr>
          <w:b/>
          <w:sz w:val="28"/>
          <w:szCs w:val="28"/>
        </w:rPr>
      </w:pPr>
      <w:r w:rsidRPr="00C45C4D">
        <w:rPr>
          <w:b/>
          <w:sz w:val="28"/>
          <w:szCs w:val="28"/>
        </w:rPr>
        <w:lastRenderedPageBreak/>
        <w:t xml:space="preserve">Somerset House. </w:t>
      </w:r>
    </w:p>
    <w:p w:rsidR="00C45C4D" w:rsidRDefault="00C45C4D" w:rsidP="00C45C4D">
      <w:pPr>
        <w:spacing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83078">
        <w:rPr>
          <w:rFonts w:ascii="Times New Roman" w:hAnsi="Times New Roman" w:cs="Times New Roman"/>
          <w:color w:val="000000"/>
          <w:sz w:val="23"/>
          <w:szCs w:val="23"/>
        </w:rPr>
        <w:t>Somerset House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jest zabytkiem pierwszej klasy (Grade I) i jako taki posiada unikalną wartość historyczną i architekt</w:t>
      </w:r>
      <w:r w:rsidR="008940F2">
        <w:rPr>
          <w:rFonts w:ascii="Times New Roman" w:hAnsi="Times New Roman" w:cs="Times New Roman"/>
          <w:color w:val="000000"/>
          <w:sz w:val="23"/>
          <w:szCs w:val="23"/>
        </w:rPr>
        <w:t xml:space="preserve">oniczną. Wiąże się to z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ograniczeniami dotyczącymi użytkowania przestrzeni, m. in. w zakresie dostaw, instalacji oraz dokonywania jakichkolwiek modyfikacji. </w:t>
      </w:r>
    </w:p>
    <w:p w:rsidR="00C45C4D" w:rsidRDefault="00C45C4D" w:rsidP="00C45C4D">
      <w:pPr>
        <w:pStyle w:val="Pa0"/>
        <w:spacing w:line="360" w:lineRule="auto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>Prace wpływające na materię budynku mog</w:t>
      </w:r>
      <w:r w:rsidR="008940F2">
        <w:rPr>
          <w:rFonts w:ascii="Times New Roman" w:hAnsi="Times New Roman" w:cs="Times New Roman"/>
          <w:color w:val="000000"/>
          <w:sz w:val="23"/>
          <w:szCs w:val="23"/>
          <w:lang w:val="pl-PL"/>
        </w:rPr>
        <w:t>ą być wykonywane jedynie przez zatwierdzonych przez London Design Biennale w</w:t>
      </w: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ykonawców. Oznacza to, że wystawcy oraz wykonawcy, którzy nie posiadają pozwoleń mogą wykonywać jedynie prace związane z obiektami wolnostojącymi. </w:t>
      </w:r>
    </w:p>
    <w:p w:rsidR="00C45C4D" w:rsidRDefault="00C45C4D" w:rsidP="00C45C4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Prace wpływające na materię budynku to m. in.: wszelkie prace zmieniające strukturę czy elementy stałe i zdobnicze budynku, a także mocowanie przedmiotów do ścian (w tym wiercenie otworów).</w:t>
      </w:r>
    </w:p>
    <w:p w:rsidR="00C45C4D" w:rsidRPr="00283078" w:rsidRDefault="00C45C4D" w:rsidP="00C45C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W Somerset House niedozwolone są następujące działania, co należy wziąć pod uwagę w przygotowywaniu instalacji:</w:t>
      </w:r>
      <w:r w:rsidRPr="0028307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C45C4D" w:rsidRPr="00283078" w:rsidRDefault="00C45C4D" w:rsidP="00C45C4D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Niedozwolone jest mocowanie przedmiotów do podłóg lub sufitów</w:t>
      </w:r>
    </w:p>
    <w:p w:rsidR="00C45C4D" w:rsidRPr="00283078" w:rsidRDefault="00C45C4D" w:rsidP="00C45C4D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Taśmy oraz inne materiały przylepne muszą charakteryzować się niską przylepnością, aby nie powodowały uszkodzeń; nie mogą być stosowane na podłogach drewnianych</w:t>
      </w:r>
      <w:r w:rsidRPr="00283078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C45C4D" w:rsidRPr="00283078" w:rsidRDefault="00C45C4D" w:rsidP="00C45C4D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Niedozwolone jest wieszanie przedmiotów czy instalacji z szyn oświetleniowych.</w:t>
      </w:r>
      <w:r w:rsidRPr="0028307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C45C4D" w:rsidRPr="00283078" w:rsidRDefault="00C45C4D" w:rsidP="00C45C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5C4D" w:rsidRDefault="00C45C4D" w:rsidP="008940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8940F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Dozwolone obciążenie stropowe: 2,5 </w:t>
      </w:r>
      <w:proofErr w:type="spellStart"/>
      <w:r w:rsidRPr="008940F2">
        <w:rPr>
          <w:rFonts w:ascii="Times New Roman" w:hAnsi="Times New Roman" w:cs="Times New Roman"/>
          <w:b/>
          <w:color w:val="000000"/>
          <w:sz w:val="23"/>
          <w:szCs w:val="23"/>
        </w:rPr>
        <w:t>kN</w:t>
      </w:r>
      <w:proofErr w:type="spellEnd"/>
      <w:r w:rsidRPr="008940F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(254 Kg) na m2</w:t>
      </w:r>
    </w:p>
    <w:p w:rsidR="008940F2" w:rsidRPr="008940F2" w:rsidRDefault="008940F2" w:rsidP="008940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C45C4D" w:rsidRPr="00C45C4D" w:rsidRDefault="00C45C4D" w:rsidP="008940F2">
      <w:pPr>
        <w:spacing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940F2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Warunki w Skrzydle Wschodnim (East </w:t>
      </w:r>
      <w:proofErr w:type="spellStart"/>
      <w:r w:rsidRPr="008940F2">
        <w:rPr>
          <w:rFonts w:ascii="Times New Roman" w:hAnsi="Times New Roman" w:cs="Times New Roman"/>
          <w:color w:val="000000"/>
          <w:sz w:val="23"/>
          <w:szCs w:val="23"/>
          <w:u w:val="single"/>
        </w:rPr>
        <w:t>Wing</w:t>
      </w:r>
      <w:proofErr w:type="spellEnd"/>
      <w:r w:rsidRPr="008940F2">
        <w:rPr>
          <w:rFonts w:ascii="Times New Roman" w:hAnsi="Times New Roman" w:cs="Times New Roman"/>
          <w:color w:val="000000"/>
          <w:sz w:val="23"/>
          <w:szCs w:val="23"/>
          <w:u w:val="single"/>
        </w:rPr>
        <w:t>)</w:t>
      </w:r>
      <w:r w:rsidR="008940F2" w:rsidRPr="008940F2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:  </w:t>
      </w:r>
      <w:r w:rsidR="008940F2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</w:t>
      </w:r>
      <w:r w:rsidRPr="008940F2">
        <w:rPr>
          <w:rFonts w:ascii="Times New Roman" w:hAnsi="Times New Roman" w:cs="Times New Roman"/>
          <w:b/>
          <w:color w:val="000000"/>
          <w:sz w:val="23"/>
          <w:szCs w:val="23"/>
        </w:rPr>
        <w:t>Ściany</w:t>
      </w:r>
      <w:r w:rsidRPr="00C45C4D">
        <w:rPr>
          <w:rFonts w:ascii="Times New Roman" w:hAnsi="Times New Roman" w:cs="Times New Roman"/>
          <w:color w:val="000000"/>
          <w:sz w:val="23"/>
          <w:szCs w:val="23"/>
        </w:rPr>
        <w:t>: Cegła, wypełnienie tynkiem wapiennym</w:t>
      </w:r>
      <w:r w:rsidR="008940F2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</w:t>
      </w:r>
      <w:r w:rsidRPr="008940F2">
        <w:rPr>
          <w:rFonts w:ascii="Times New Roman" w:hAnsi="Times New Roman" w:cs="Times New Roman"/>
          <w:b/>
          <w:color w:val="000000"/>
          <w:sz w:val="23"/>
          <w:szCs w:val="23"/>
        </w:rPr>
        <w:t>Sufity</w:t>
      </w:r>
      <w:r w:rsidRPr="00C45C4D">
        <w:rPr>
          <w:rFonts w:ascii="Times New Roman" w:hAnsi="Times New Roman" w:cs="Times New Roman"/>
          <w:color w:val="000000"/>
          <w:sz w:val="23"/>
          <w:szCs w:val="23"/>
        </w:rPr>
        <w:t>: Listwy, wypełnienie tynkiem wapiennym</w:t>
      </w:r>
      <w:r w:rsidR="008940F2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</w:t>
      </w:r>
      <w:r w:rsidRPr="008940F2">
        <w:rPr>
          <w:rFonts w:ascii="Times New Roman" w:hAnsi="Times New Roman" w:cs="Times New Roman"/>
          <w:b/>
          <w:color w:val="000000"/>
          <w:sz w:val="23"/>
          <w:szCs w:val="23"/>
        </w:rPr>
        <w:t>Podłoga</w:t>
      </w:r>
      <w:r w:rsidRPr="00C45C4D">
        <w:rPr>
          <w:rFonts w:ascii="Times New Roman" w:hAnsi="Times New Roman" w:cs="Times New Roman"/>
          <w:color w:val="000000"/>
          <w:sz w:val="23"/>
          <w:szCs w:val="23"/>
        </w:rPr>
        <w:t>: Zabytkowy parkiet tradycyjny z miękkiego drewna</w:t>
      </w:r>
    </w:p>
    <w:p w:rsidR="00C45C4D" w:rsidRPr="003D783C" w:rsidRDefault="00C45C4D" w:rsidP="008940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 w:val="23"/>
          <w:szCs w:val="23"/>
          <w:lang w:val="en-GB"/>
        </w:rPr>
      </w:pPr>
      <w:proofErr w:type="spellStart"/>
      <w:r w:rsidRPr="008940F2">
        <w:rPr>
          <w:rFonts w:ascii="Times New Roman" w:hAnsi="Times New Roman" w:cs="Times New Roman"/>
          <w:color w:val="000000"/>
          <w:sz w:val="23"/>
          <w:szCs w:val="23"/>
          <w:u w:val="single"/>
          <w:lang w:val="en-GB"/>
        </w:rPr>
        <w:t>Kolory</w:t>
      </w:r>
      <w:proofErr w:type="spellEnd"/>
      <w:r w:rsidRPr="008940F2">
        <w:rPr>
          <w:rFonts w:ascii="Times New Roman" w:hAnsi="Times New Roman" w:cs="Times New Roman"/>
          <w:color w:val="000000"/>
          <w:sz w:val="23"/>
          <w:szCs w:val="23"/>
          <w:u w:val="single"/>
          <w:lang w:val="en-GB"/>
        </w:rPr>
        <w:t xml:space="preserve">: </w:t>
      </w:r>
      <w:r w:rsidR="008940F2" w:rsidRPr="008940F2">
        <w:rPr>
          <w:rFonts w:ascii="Times New Roman" w:hAnsi="Times New Roman" w:cs="Times New Roman"/>
          <w:color w:val="000000"/>
          <w:sz w:val="23"/>
          <w:szCs w:val="23"/>
          <w:u w:val="single"/>
          <w:lang w:val="en-GB"/>
        </w:rPr>
        <w:t xml:space="preserve">                                                                                                                                                    </w:t>
      </w:r>
      <w:r w:rsidR="008940F2">
        <w:rPr>
          <w:rFonts w:ascii="Times New Roman" w:hAnsi="Times New Roman" w:cs="Times New Roman"/>
          <w:color w:val="000000"/>
          <w:sz w:val="23"/>
          <w:szCs w:val="23"/>
          <w:u w:val="single"/>
          <w:lang w:val="en-GB"/>
        </w:rPr>
        <w:t xml:space="preserve">      </w:t>
      </w:r>
      <w:proofErr w:type="spellStart"/>
      <w:r w:rsidRPr="008940F2">
        <w:rPr>
          <w:rFonts w:ascii="Times New Roman" w:hAnsi="Times New Roman" w:cs="Times New Roman"/>
          <w:b/>
          <w:color w:val="000000"/>
          <w:sz w:val="23"/>
          <w:szCs w:val="23"/>
          <w:lang w:val="en-GB"/>
        </w:rPr>
        <w:t>Ściany</w:t>
      </w:r>
      <w:proofErr w:type="spellEnd"/>
      <w:r w:rsidRPr="003D783C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 – Dulux Diamond Matt Emulsion: </w:t>
      </w:r>
      <w:proofErr w:type="spellStart"/>
      <w:r w:rsidRPr="003D783C">
        <w:rPr>
          <w:rFonts w:ascii="Times New Roman" w:hAnsi="Times New Roman" w:cs="Times New Roman"/>
          <w:color w:val="000000"/>
          <w:sz w:val="23"/>
          <w:szCs w:val="23"/>
          <w:lang w:val="en-GB"/>
        </w:rPr>
        <w:t>JasmineWhite</w:t>
      </w:r>
      <w:proofErr w:type="spellEnd"/>
      <w:r w:rsidR="008940F2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                                                                       </w:t>
      </w:r>
      <w:proofErr w:type="spellStart"/>
      <w:r w:rsidRPr="008940F2">
        <w:rPr>
          <w:rFonts w:ascii="Times New Roman" w:hAnsi="Times New Roman" w:cs="Times New Roman"/>
          <w:b/>
          <w:color w:val="000000"/>
          <w:sz w:val="23"/>
          <w:szCs w:val="23"/>
          <w:lang w:val="en-GB"/>
        </w:rPr>
        <w:t>Sufit</w:t>
      </w:r>
      <w:proofErr w:type="spellEnd"/>
      <w:r w:rsidRPr="003D783C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 - Dulux Matt Emulsion: RAL9010</w:t>
      </w:r>
      <w:r w:rsidR="008940F2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                                                                                                   </w:t>
      </w:r>
      <w:proofErr w:type="spellStart"/>
      <w:r w:rsidRPr="008940F2">
        <w:rPr>
          <w:rFonts w:ascii="Times New Roman" w:hAnsi="Times New Roman" w:cs="Times New Roman"/>
          <w:b/>
          <w:color w:val="000000"/>
          <w:sz w:val="23"/>
          <w:szCs w:val="23"/>
          <w:lang w:val="en-GB"/>
        </w:rPr>
        <w:t>Elementy</w:t>
      </w:r>
      <w:proofErr w:type="spellEnd"/>
      <w:r w:rsidRPr="008940F2">
        <w:rPr>
          <w:rFonts w:ascii="Times New Roman" w:hAnsi="Times New Roman" w:cs="Times New Roman"/>
          <w:b/>
          <w:color w:val="000000"/>
          <w:sz w:val="23"/>
          <w:szCs w:val="23"/>
          <w:lang w:val="en-GB"/>
        </w:rPr>
        <w:t xml:space="preserve"> </w:t>
      </w:r>
      <w:proofErr w:type="spellStart"/>
      <w:r w:rsidRPr="008940F2">
        <w:rPr>
          <w:rFonts w:ascii="Times New Roman" w:hAnsi="Times New Roman" w:cs="Times New Roman"/>
          <w:b/>
          <w:color w:val="000000"/>
          <w:sz w:val="23"/>
          <w:szCs w:val="23"/>
          <w:lang w:val="en-GB"/>
        </w:rPr>
        <w:t>drewniane</w:t>
      </w:r>
      <w:proofErr w:type="spellEnd"/>
      <w:r w:rsidRPr="003D783C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 - </w:t>
      </w:r>
      <w:proofErr w:type="spellStart"/>
      <w:r w:rsidRPr="003D783C">
        <w:rPr>
          <w:rFonts w:ascii="Times New Roman" w:hAnsi="Times New Roman" w:cs="Times New Roman"/>
          <w:color w:val="000000"/>
          <w:sz w:val="23"/>
          <w:szCs w:val="23"/>
          <w:lang w:val="en-GB"/>
        </w:rPr>
        <w:t>belki</w:t>
      </w:r>
      <w:proofErr w:type="spellEnd"/>
      <w:r w:rsidRPr="003D783C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 </w:t>
      </w:r>
      <w:proofErr w:type="spellStart"/>
      <w:r w:rsidRPr="003D783C">
        <w:rPr>
          <w:rFonts w:ascii="Times New Roman" w:hAnsi="Times New Roman" w:cs="Times New Roman"/>
          <w:color w:val="000000"/>
          <w:sz w:val="23"/>
          <w:szCs w:val="23"/>
          <w:lang w:val="en-GB"/>
        </w:rPr>
        <w:t>i</w:t>
      </w:r>
      <w:proofErr w:type="spellEnd"/>
      <w:r w:rsidRPr="003D783C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 </w:t>
      </w:r>
      <w:proofErr w:type="spellStart"/>
      <w:r w:rsidRPr="003D783C">
        <w:rPr>
          <w:rFonts w:ascii="Times New Roman" w:hAnsi="Times New Roman" w:cs="Times New Roman"/>
          <w:color w:val="000000"/>
          <w:sz w:val="23"/>
          <w:szCs w:val="23"/>
          <w:lang w:val="en-GB"/>
        </w:rPr>
        <w:t>listwy</w:t>
      </w:r>
      <w:proofErr w:type="spellEnd"/>
      <w:r w:rsidRPr="003D783C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 </w:t>
      </w:r>
      <w:proofErr w:type="spellStart"/>
      <w:r w:rsidRPr="003D783C">
        <w:rPr>
          <w:rFonts w:ascii="Times New Roman" w:hAnsi="Times New Roman" w:cs="Times New Roman"/>
          <w:color w:val="000000"/>
          <w:sz w:val="23"/>
          <w:szCs w:val="23"/>
          <w:lang w:val="en-GB"/>
        </w:rPr>
        <w:t>przypodłogowe</w:t>
      </w:r>
      <w:proofErr w:type="spellEnd"/>
      <w:r w:rsidRPr="003D783C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: Farrow &amp; Ball Acrylic Eggshell: </w:t>
      </w:r>
      <w:proofErr w:type="spellStart"/>
      <w:r w:rsidRPr="003D783C">
        <w:rPr>
          <w:rFonts w:ascii="Times New Roman" w:hAnsi="Times New Roman" w:cs="Times New Roman"/>
          <w:color w:val="000000"/>
          <w:sz w:val="23"/>
          <w:szCs w:val="23"/>
          <w:lang w:val="en-GB"/>
        </w:rPr>
        <w:t>Clunch</w:t>
      </w:r>
      <w:proofErr w:type="spellEnd"/>
      <w:r w:rsidRPr="003D783C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. </w:t>
      </w:r>
      <w:proofErr w:type="spellStart"/>
      <w:r w:rsidRPr="008940F2">
        <w:rPr>
          <w:rFonts w:ascii="Times New Roman" w:hAnsi="Times New Roman" w:cs="Times New Roman"/>
          <w:b/>
          <w:color w:val="000000"/>
          <w:sz w:val="23"/>
          <w:szCs w:val="23"/>
          <w:lang w:val="en-GB"/>
        </w:rPr>
        <w:t>Drzwi</w:t>
      </w:r>
      <w:proofErr w:type="spellEnd"/>
      <w:r w:rsidRPr="008940F2">
        <w:rPr>
          <w:rFonts w:ascii="Times New Roman" w:hAnsi="Times New Roman" w:cs="Times New Roman"/>
          <w:b/>
          <w:color w:val="000000"/>
          <w:sz w:val="23"/>
          <w:szCs w:val="23"/>
          <w:lang w:val="en-GB"/>
        </w:rPr>
        <w:t>:</w:t>
      </w:r>
      <w:r w:rsidRPr="003D783C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 Farrow &amp; Ball Acrylic Eggshell: OffBlack57</w:t>
      </w:r>
      <w:r w:rsidR="008940F2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                                                                                  </w:t>
      </w:r>
      <w:proofErr w:type="spellStart"/>
      <w:r w:rsidRPr="008940F2">
        <w:rPr>
          <w:rFonts w:ascii="Times New Roman" w:hAnsi="Times New Roman" w:cs="Times New Roman"/>
          <w:b/>
          <w:color w:val="000000"/>
          <w:sz w:val="23"/>
          <w:szCs w:val="23"/>
          <w:lang w:val="en-GB"/>
        </w:rPr>
        <w:t>Okna</w:t>
      </w:r>
      <w:proofErr w:type="spellEnd"/>
      <w:r w:rsidRPr="008940F2">
        <w:rPr>
          <w:rFonts w:ascii="Times New Roman" w:hAnsi="Times New Roman" w:cs="Times New Roman"/>
          <w:b/>
          <w:color w:val="000000"/>
          <w:sz w:val="23"/>
          <w:szCs w:val="23"/>
          <w:lang w:val="en-GB"/>
        </w:rPr>
        <w:t>:</w:t>
      </w:r>
      <w:r w:rsidRPr="003D783C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 Dulux Acrylic Eggshell RAL9010 </w:t>
      </w:r>
      <w:r w:rsidR="008940F2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                                                                                       </w:t>
      </w:r>
      <w:proofErr w:type="spellStart"/>
      <w:r w:rsidRPr="008940F2">
        <w:rPr>
          <w:rFonts w:ascii="Times New Roman" w:hAnsi="Times New Roman" w:cs="Times New Roman"/>
          <w:b/>
          <w:color w:val="000000"/>
          <w:sz w:val="23"/>
          <w:szCs w:val="23"/>
          <w:lang w:val="en-GB"/>
        </w:rPr>
        <w:t>Wykończenie</w:t>
      </w:r>
      <w:proofErr w:type="spellEnd"/>
      <w:r w:rsidRPr="008940F2">
        <w:rPr>
          <w:rFonts w:ascii="Times New Roman" w:hAnsi="Times New Roman" w:cs="Times New Roman"/>
          <w:b/>
          <w:color w:val="000000"/>
          <w:sz w:val="23"/>
          <w:szCs w:val="23"/>
          <w:lang w:val="en-GB"/>
        </w:rPr>
        <w:t xml:space="preserve"> </w:t>
      </w:r>
      <w:proofErr w:type="spellStart"/>
      <w:r w:rsidRPr="008940F2">
        <w:rPr>
          <w:rFonts w:ascii="Times New Roman" w:hAnsi="Times New Roman" w:cs="Times New Roman"/>
          <w:b/>
          <w:color w:val="000000"/>
          <w:sz w:val="23"/>
          <w:szCs w:val="23"/>
          <w:lang w:val="en-GB"/>
        </w:rPr>
        <w:t>podłóg</w:t>
      </w:r>
      <w:proofErr w:type="spellEnd"/>
      <w:r w:rsidRPr="003D783C">
        <w:rPr>
          <w:rFonts w:ascii="Times New Roman" w:hAnsi="Times New Roman" w:cs="Times New Roman"/>
          <w:color w:val="000000"/>
          <w:sz w:val="23"/>
          <w:szCs w:val="23"/>
          <w:lang w:val="en-GB"/>
        </w:rPr>
        <w:t xml:space="preserve">: Bona Traffic HD Satin finish. </w:t>
      </w:r>
    </w:p>
    <w:p w:rsidR="00C45C4D" w:rsidRPr="00C45C4D" w:rsidRDefault="00C45C4D" w:rsidP="00C45C4D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Przestrzenie ogrzewane są za pomocą tradycyjnych kaloryferów (znajdujących się głównie pod oknami); wentylacja naturalna. Brak możliwości sterowania warunkami we wnętrzach. Brak </w:t>
      </w:r>
      <w:r w:rsidRPr="00C45C4D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możliwości otwierania wszystkich okien. </w:t>
      </w:r>
    </w:p>
    <w:p w:rsidR="00C45C4D" w:rsidRPr="00C45C4D" w:rsidRDefault="00C45C4D" w:rsidP="00C45C4D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Dźwięk: Jeżeli planują Państwo wykorzystanie dźwięku w Skrzydle Wschodnim, należy upewnić się, że nie jest on słyszalny na zewnątrz, ponieważ budynek współdzielony jest z </w:t>
      </w:r>
      <w:proofErr w:type="spellStart"/>
      <w:r w:rsidRPr="00C45C4D">
        <w:rPr>
          <w:rFonts w:ascii="Times New Roman" w:hAnsi="Times New Roman" w:cs="Times New Roman"/>
          <w:color w:val="000000"/>
          <w:sz w:val="23"/>
          <w:szCs w:val="23"/>
        </w:rPr>
        <w:t>King’s</w:t>
      </w:r>
      <w:proofErr w:type="spellEnd"/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 College. </w:t>
      </w:r>
    </w:p>
    <w:p w:rsidR="00B135C9" w:rsidRPr="00C45C4D" w:rsidRDefault="00B135C9">
      <w:pPr>
        <w:rPr>
          <w:rFonts w:ascii="Times New Roman" w:hAnsi="Times New Roman" w:cs="Times New Roman"/>
          <w:color w:val="000000"/>
          <w:sz w:val="23"/>
          <w:szCs w:val="23"/>
        </w:rPr>
      </w:pPr>
    </w:p>
    <w:sectPr w:rsidR="00B135C9" w:rsidRPr="00C45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ownProTT Light">
    <w:altName w:val="Arial"/>
    <w:charset w:val="4D"/>
    <w:family w:val="swiss"/>
    <w:pitch w:val="variable"/>
    <w:sig w:usb0="00000001" w:usb1="4000206B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wnProTT">
    <w:altName w:val="Arial"/>
    <w:charset w:val="4D"/>
    <w:family w:val="swiss"/>
    <w:pitch w:val="variable"/>
    <w:sig w:usb0="A00000BF" w:usb1="4000206B" w:usb2="00000000" w:usb3="00000000" w:csb0="00000093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D4C96"/>
    <w:multiLevelType w:val="multilevel"/>
    <w:tmpl w:val="6E9D4C96"/>
    <w:lvl w:ilvl="0">
      <w:start w:val="2"/>
      <w:numFmt w:val="bullet"/>
      <w:lvlText w:val="-"/>
      <w:lvlJc w:val="left"/>
      <w:pPr>
        <w:ind w:left="720" w:hanging="360"/>
      </w:pPr>
      <w:rPr>
        <w:rFonts w:ascii="BrownProTT Light" w:eastAsiaTheme="minorHAnsi" w:hAnsi="BrownProTT Light" w:cs="BrownProTT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BB"/>
    <w:rsid w:val="00044152"/>
    <w:rsid w:val="000A31B9"/>
    <w:rsid w:val="000D0482"/>
    <w:rsid w:val="003275E8"/>
    <w:rsid w:val="003819A9"/>
    <w:rsid w:val="003D783C"/>
    <w:rsid w:val="00564F09"/>
    <w:rsid w:val="006B6D10"/>
    <w:rsid w:val="007A5A8A"/>
    <w:rsid w:val="008940F2"/>
    <w:rsid w:val="009E5D10"/>
    <w:rsid w:val="00B135C9"/>
    <w:rsid w:val="00B61BBB"/>
    <w:rsid w:val="00C45C4D"/>
    <w:rsid w:val="00E0006B"/>
    <w:rsid w:val="00F41D71"/>
    <w:rsid w:val="00FB3CA3"/>
    <w:rsid w:val="00FE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1D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5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0006B"/>
    <w:rPr>
      <w:color w:val="0000FF" w:themeColor="hyperlink"/>
      <w:u w:val="single"/>
    </w:rPr>
  </w:style>
  <w:style w:type="paragraph" w:customStyle="1" w:styleId="Pa0">
    <w:name w:val="Pa0"/>
    <w:basedOn w:val="Normalny"/>
    <w:next w:val="Normalny"/>
    <w:uiPriority w:val="99"/>
    <w:rsid w:val="00C45C4D"/>
    <w:pPr>
      <w:autoSpaceDE w:val="0"/>
      <w:autoSpaceDN w:val="0"/>
      <w:adjustRightInd w:val="0"/>
      <w:spacing w:after="0" w:line="241" w:lineRule="atLeast"/>
    </w:pPr>
    <w:rPr>
      <w:rFonts w:ascii="BrownProTT" w:hAnsi="BrownProTT"/>
      <w:sz w:val="24"/>
      <w:szCs w:val="24"/>
      <w:lang w:val="en-GB"/>
    </w:rPr>
  </w:style>
  <w:style w:type="paragraph" w:customStyle="1" w:styleId="Akapitzlist1">
    <w:name w:val="Akapit z listą1"/>
    <w:basedOn w:val="Normalny"/>
    <w:uiPriority w:val="34"/>
    <w:qFormat/>
    <w:rsid w:val="00C45C4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41D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1D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5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0006B"/>
    <w:rPr>
      <w:color w:val="0000FF" w:themeColor="hyperlink"/>
      <w:u w:val="single"/>
    </w:rPr>
  </w:style>
  <w:style w:type="paragraph" w:customStyle="1" w:styleId="Pa0">
    <w:name w:val="Pa0"/>
    <w:basedOn w:val="Normalny"/>
    <w:next w:val="Normalny"/>
    <w:uiPriority w:val="99"/>
    <w:rsid w:val="00C45C4D"/>
    <w:pPr>
      <w:autoSpaceDE w:val="0"/>
      <w:autoSpaceDN w:val="0"/>
      <w:adjustRightInd w:val="0"/>
      <w:spacing w:after="0" w:line="241" w:lineRule="atLeast"/>
    </w:pPr>
    <w:rPr>
      <w:rFonts w:ascii="BrownProTT" w:hAnsi="BrownProTT"/>
      <w:sz w:val="24"/>
      <w:szCs w:val="24"/>
      <w:lang w:val="en-GB"/>
    </w:rPr>
  </w:style>
  <w:style w:type="paragraph" w:customStyle="1" w:styleId="Akapitzlist1">
    <w:name w:val="Akapit z listą1"/>
    <w:basedOn w:val="Normalny"/>
    <w:uiPriority w:val="34"/>
    <w:qFormat/>
    <w:rsid w:val="00C45C4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41D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atterport.com/show/?m=nDqR55Z1GS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maps/@51.5109891,0.1163964,3a,75y,339.9h,87.31t/data=!3m7!1e1!3m5!1s--HRy2oaKv4AAAQY7MmUpA!2e0!3e2!7i13312!8i6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Gedroyc</dc:creator>
  <cp:lastModifiedBy>Natalia Gedroyc</cp:lastModifiedBy>
  <cp:revision>8</cp:revision>
  <dcterms:created xsi:type="dcterms:W3CDTF">2019-09-09T14:34:00Z</dcterms:created>
  <dcterms:modified xsi:type="dcterms:W3CDTF">2019-09-30T09:51:00Z</dcterms:modified>
</cp:coreProperties>
</file>